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607AEC" w:rsidRPr="005E2F21" w14:paraId="18BA97F4" w14:textId="77777777" w:rsidTr="00864EDE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B35" w14:textId="1516A5F8" w:rsidR="00607AEC" w:rsidRPr="004600EE" w:rsidRDefault="004F0E42" w:rsidP="00A96380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032273" w:rsidRPr="004600EE">
              <w:rPr>
                <w:rFonts w:ascii="Arial" w:hAnsi="Arial" w:cs="Arial"/>
                <w:sz w:val="26"/>
                <w:szCs w:val="26"/>
              </w:rPr>
              <w:t>A FUNDAÇÃO HOSPITALAR SÃO SEBASTIÃO, TORNA PÚBLICO A QUEM POSSA INTERESSAR QUE ESTARÁ RECEBENDO COTAÇÕES DE PREÇOS PARA O ITEM ABAIXO MENCIONADO ENTRE</w:t>
            </w:r>
            <w:r w:rsidR="00FE67C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75F05" w:rsidRPr="00B75F05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13</w:t>
            </w:r>
            <w:r w:rsidR="00627BFD" w:rsidRPr="00B75F05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/</w:t>
            </w:r>
            <w:r w:rsidR="00627BFD" w:rsidRPr="00627BFD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0</w:t>
            </w:r>
            <w:r w:rsidR="00840A5A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9</w:t>
            </w:r>
            <w:r w:rsidR="007B295B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/202</w:t>
            </w:r>
            <w:r w:rsidR="00062AB8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09303E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 xml:space="preserve"> A</w:t>
            </w:r>
            <w:r w:rsidR="00627BF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B75F05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15</w:t>
            </w:r>
            <w:r w:rsidR="00627BF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/09</w:t>
            </w:r>
            <w:r w:rsidR="00B11FB1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/</w:t>
            </w:r>
            <w:r w:rsidR="00B50DEB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202</w:t>
            </w:r>
            <w:r w:rsidR="00062AB8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032273" w:rsidRPr="00B11FB1">
              <w:rPr>
                <w:rFonts w:ascii="Arial" w:hAnsi="Arial" w:cs="Arial"/>
                <w:b/>
                <w:bCs/>
                <w:sz w:val="26"/>
                <w:szCs w:val="26"/>
                <w:u w:val="single"/>
                <w:shd w:val="clear" w:color="auto" w:fill="FFFFFF" w:themeFill="background1"/>
              </w:rPr>
              <w:t>.</w:t>
            </w:r>
            <w:r w:rsidR="00032273" w:rsidRPr="004600EE">
              <w:rPr>
                <w:rFonts w:ascii="Arial" w:hAnsi="Arial" w:cs="Arial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032273" w:rsidRPr="004600EE">
              <w:rPr>
                <w:rFonts w:ascii="Arial" w:hAnsi="Arial" w:cs="Arial"/>
                <w:sz w:val="26"/>
                <w:szCs w:val="26"/>
              </w:rPr>
              <w:t xml:space="preserve">A DESCRIÇÃO DO OBJETO, </w:t>
            </w:r>
            <w:proofErr w:type="gramStart"/>
            <w:r w:rsidR="00032273" w:rsidRPr="004600EE">
              <w:rPr>
                <w:rFonts w:ascii="Arial" w:hAnsi="Arial" w:cs="Arial"/>
                <w:sz w:val="26"/>
                <w:szCs w:val="26"/>
              </w:rPr>
              <w:t>A QUANTIDADE E A LISTA DE DOCUMENTOS QUE DEVERÃO COMPOR A COTAÇÃO ENCONTRA-SE</w:t>
            </w:r>
            <w:proofErr w:type="gramEnd"/>
            <w:r w:rsidR="00032273" w:rsidRPr="004600EE">
              <w:rPr>
                <w:rFonts w:ascii="Arial" w:hAnsi="Arial" w:cs="Arial"/>
                <w:sz w:val="26"/>
                <w:szCs w:val="26"/>
              </w:rPr>
              <w:t xml:space="preserve"> DISPONÍVEL NO SITE DA FUNDAÇÃO: www.hsstc.com.br OUTRAS INFORMAÇÕES OU COMPLEMENTOS DESTAS PODERÃO SER FORNECIDAS NO TELEFONE (35)3239-39</w:t>
            </w:r>
            <w:r w:rsidR="00C274E7">
              <w:rPr>
                <w:rFonts w:ascii="Arial" w:hAnsi="Arial" w:cs="Arial"/>
                <w:sz w:val="26"/>
                <w:szCs w:val="26"/>
              </w:rPr>
              <w:t>78</w:t>
            </w:r>
            <w:r w:rsidR="00032273" w:rsidRPr="004600EE">
              <w:rPr>
                <w:rFonts w:ascii="Arial" w:hAnsi="Arial" w:cs="Arial"/>
                <w:sz w:val="26"/>
                <w:szCs w:val="26"/>
              </w:rPr>
              <w:t xml:space="preserve"> OU NO ENDEREÇO DE E-MAIL: </w:t>
            </w:r>
            <w:hyperlink r:id="rId6" w:history="1">
              <w:r w:rsidR="0060768C" w:rsidRPr="00263F19">
                <w:rPr>
                  <w:rStyle w:val="Hyperlink"/>
                  <w:rFonts w:ascii="Arial" w:hAnsi="Arial" w:cs="Arial"/>
                  <w:sz w:val="26"/>
                  <w:szCs w:val="26"/>
                </w:rPr>
                <w:t>licitacao@hsstc.com.br</w:t>
              </w:r>
            </w:hyperlink>
            <w:r w:rsidR="00032273" w:rsidRPr="004600EE">
              <w:rPr>
                <w:rFonts w:ascii="Arial" w:hAnsi="Arial" w:cs="Arial"/>
                <w:sz w:val="26"/>
                <w:szCs w:val="26"/>
              </w:rPr>
              <w:t xml:space="preserve"> OU NO ENDEREÇO: RUA PEDRO BONÉSIO, N.º 236 CENTRO – TRÊS CORAÇÕES - MG.</w:t>
            </w:r>
          </w:p>
        </w:tc>
      </w:tr>
      <w:tr w:rsidR="00607AEC" w:rsidRPr="005E2F21" w14:paraId="5732340D" w14:textId="77777777" w:rsidTr="00D02A53">
        <w:trPr>
          <w:trHeight w:val="13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5E66" w14:textId="6665C904" w:rsidR="00D16BB5" w:rsidRDefault="00C774CE" w:rsidP="007B295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F21">
              <w:rPr>
                <w:rFonts w:ascii="Arial" w:hAnsi="Arial" w:cs="Arial"/>
                <w:b/>
                <w:sz w:val="28"/>
                <w:szCs w:val="28"/>
              </w:rPr>
              <w:t xml:space="preserve">PROCESSO DE COMPRAS: </w:t>
            </w:r>
            <w:r w:rsidR="0009303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F0E5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00D2C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09303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062AB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769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0C596AD" w14:textId="464E18F8" w:rsidR="00C274E7" w:rsidRPr="00C274E7" w:rsidRDefault="0060768C" w:rsidP="00636116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AQUISIÇÃO</w:t>
            </w:r>
            <w:r w:rsidR="00757A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0D2C">
              <w:rPr>
                <w:rFonts w:ascii="Arial" w:hAnsi="Arial" w:cs="Arial"/>
                <w:b/>
                <w:sz w:val="24"/>
                <w:szCs w:val="24"/>
              </w:rPr>
              <w:t>MATERIAIS ELETRICOS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F60D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</w:t>
            </w:r>
            <w:r w:rsidR="00C274E7" w:rsidRPr="00C274E7">
              <w:rPr>
                <w:rFonts w:ascii="Arial" w:hAnsi="Arial" w:cs="Arial"/>
                <w:b/>
                <w:sz w:val="24"/>
                <w:szCs w:val="24"/>
              </w:rPr>
              <w:t xml:space="preserve"> ATENDER AS NECESSIDADE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 xml:space="preserve"> DO CENTRO CIRURGICO </w:t>
            </w:r>
            <w:r w:rsidR="00C274E7" w:rsidRPr="00C274E7">
              <w:rPr>
                <w:rFonts w:ascii="Arial" w:hAnsi="Arial" w:cs="Arial"/>
                <w:b/>
                <w:sz w:val="24"/>
                <w:szCs w:val="24"/>
              </w:rPr>
              <w:t xml:space="preserve">DA FUNDAÇÃO HOSPITALAR SÃO SEBASTIÃO, ATRAVÉS </w:t>
            </w:r>
            <w:r w:rsidR="0054475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60F3C">
              <w:rPr>
                <w:rFonts w:ascii="Arial" w:hAnsi="Arial" w:cs="Arial"/>
                <w:b/>
                <w:sz w:val="24"/>
                <w:szCs w:val="24"/>
              </w:rPr>
              <w:t xml:space="preserve">A RESOLUÇÃO N 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>7.845</w:t>
            </w:r>
            <w:r w:rsidR="00636116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36116">
              <w:rPr>
                <w:rFonts w:ascii="Arial" w:hAnsi="Arial" w:cs="Arial"/>
                <w:b/>
                <w:sz w:val="24"/>
                <w:szCs w:val="24"/>
              </w:rPr>
              <w:t>/11/2021.</w:t>
            </w:r>
          </w:p>
        </w:tc>
      </w:tr>
    </w:tbl>
    <w:p w14:paraId="3C03C252" w14:textId="77777777" w:rsidR="00607AEC" w:rsidRDefault="00FC12E5" w:rsidP="00FC12E5">
      <w:pPr>
        <w:tabs>
          <w:tab w:val="left" w:pos="3148"/>
        </w:tabs>
        <w:jc w:val="both"/>
        <w:rPr>
          <w:b/>
          <w:sz w:val="42"/>
          <w:szCs w:val="42"/>
        </w:rPr>
      </w:pPr>
      <w:r>
        <w:rPr>
          <w:b/>
          <w:sz w:val="42"/>
          <w:szCs w:val="42"/>
        </w:rPr>
        <w:tab/>
      </w:r>
    </w:p>
    <w:p w14:paraId="77429755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50B48606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8866E9E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84E8675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788EEED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7B42CB51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4C7EDEBB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A3392F6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6799B7D7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F2E9018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85AAC28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98B404B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E2E34D9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DAE13C5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A39231D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D04F25E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1D2CA08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E9D4C22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437E62CF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62A1815A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4967FE56" w14:textId="77777777" w:rsidR="00C042FD" w:rsidRDefault="00C042FD" w:rsidP="00607AEC">
      <w:pPr>
        <w:jc w:val="both"/>
        <w:rPr>
          <w:rFonts w:ascii="Arial" w:hAnsi="Arial" w:cs="Arial"/>
          <w:b/>
          <w:bCs/>
          <w:sz w:val="42"/>
          <w:szCs w:val="44"/>
        </w:rPr>
      </w:pPr>
    </w:p>
    <w:p w14:paraId="319B432E" w14:textId="77777777" w:rsidR="00C042FD" w:rsidRDefault="00C042FD" w:rsidP="00607AEC">
      <w:pPr>
        <w:jc w:val="both"/>
        <w:rPr>
          <w:rFonts w:ascii="Arial" w:hAnsi="Arial" w:cs="Arial"/>
          <w:b/>
          <w:bCs/>
          <w:sz w:val="42"/>
          <w:szCs w:val="44"/>
        </w:rPr>
      </w:pPr>
    </w:p>
    <w:p w14:paraId="4804E1EA" w14:textId="77777777" w:rsidR="00B07C0E" w:rsidRDefault="00B07C0E">
      <w:pPr>
        <w:spacing w:after="20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DF6E197" w14:textId="20E9E50D" w:rsidR="00C774CE" w:rsidRPr="00536961" w:rsidRDefault="00C774CE" w:rsidP="00C774CE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536961">
        <w:rPr>
          <w:rFonts w:ascii="Arial" w:hAnsi="Arial" w:cs="Arial"/>
          <w:b/>
          <w:bCs/>
          <w:sz w:val="36"/>
          <w:szCs w:val="36"/>
        </w:rPr>
        <w:lastRenderedPageBreak/>
        <w:t xml:space="preserve">PROCESSO DE COMPRAS: </w:t>
      </w:r>
      <w:r w:rsidR="0009303E" w:rsidRPr="00536961">
        <w:rPr>
          <w:rFonts w:ascii="Arial" w:hAnsi="Arial" w:cs="Arial"/>
          <w:b/>
          <w:bCs/>
          <w:sz w:val="36"/>
          <w:szCs w:val="36"/>
        </w:rPr>
        <w:t>0</w:t>
      </w:r>
      <w:r w:rsidR="00FC50A7">
        <w:rPr>
          <w:rFonts w:ascii="Arial" w:hAnsi="Arial" w:cs="Arial"/>
          <w:b/>
          <w:bCs/>
          <w:sz w:val="36"/>
          <w:szCs w:val="36"/>
        </w:rPr>
        <w:t>1</w:t>
      </w:r>
      <w:r w:rsidR="00900D2C">
        <w:rPr>
          <w:rFonts w:ascii="Arial" w:hAnsi="Arial" w:cs="Arial"/>
          <w:b/>
          <w:bCs/>
          <w:sz w:val="36"/>
          <w:szCs w:val="36"/>
        </w:rPr>
        <w:t>7</w:t>
      </w:r>
      <w:r w:rsidR="0009303E" w:rsidRPr="00536961">
        <w:rPr>
          <w:rFonts w:ascii="Arial" w:hAnsi="Arial" w:cs="Arial"/>
          <w:b/>
          <w:bCs/>
          <w:sz w:val="36"/>
          <w:szCs w:val="36"/>
        </w:rPr>
        <w:t>-2.02</w:t>
      </w:r>
      <w:r w:rsidR="00DF4C8C">
        <w:rPr>
          <w:rFonts w:ascii="Arial" w:hAnsi="Arial" w:cs="Arial"/>
          <w:b/>
          <w:bCs/>
          <w:sz w:val="36"/>
          <w:szCs w:val="36"/>
        </w:rPr>
        <w:t>3</w:t>
      </w:r>
    </w:p>
    <w:tbl>
      <w:tblPr>
        <w:tblStyle w:val="Tabelacomgrade"/>
        <w:tblW w:w="10632" w:type="dxa"/>
        <w:tblInd w:w="-459" w:type="dxa"/>
        <w:tblLook w:val="01E0" w:firstRow="1" w:lastRow="1" w:firstColumn="1" w:lastColumn="1" w:noHBand="0" w:noVBand="0"/>
      </w:tblPr>
      <w:tblGrid>
        <w:gridCol w:w="10632"/>
      </w:tblGrid>
      <w:tr w:rsidR="00607AEC" w:rsidRPr="00536961" w14:paraId="13D887D3" w14:textId="77777777" w:rsidTr="00796E6B">
        <w:trPr>
          <w:trHeight w:val="17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2F4E" w14:textId="6674C854" w:rsidR="00607AEC" w:rsidRPr="00536961" w:rsidRDefault="00607AEC" w:rsidP="00AB496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6961">
              <w:rPr>
                <w:rFonts w:ascii="Arial" w:hAnsi="Arial" w:cs="Arial"/>
                <w:b/>
                <w:sz w:val="28"/>
                <w:szCs w:val="28"/>
              </w:rPr>
              <w:t>A Fundação Hospitalar São Sebastião, torna público a quem possa interessar que estará recebendo cotações de preços entre</w:t>
            </w:r>
            <w:r w:rsidR="00AB49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5F05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627BFD">
              <w:rPr>
                <w:rFonts w:ascii="Arial" w:hAnsi="Arial" w:cs="Arial"/>
                <w:b/>
                <w:sz w:val="28"/>
                <w:szCs w:val="28"/>
              </w:rPr>
              <w:t xml:space="preserve">/09/2023 a </w:t>
            </w:r>
            <w:r w:rsidR="00B75F05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627BFD">
              <w:rPr>
                <w:rFonts w:ascii="Arial" w:hAnsi="Arial" w:cs="Arial"/>
                <w:b/>
                <w:sz w:val="28"/>
                <w:szCs w:val="28"/>
              </w:rPr>
              <w:t>/09/2023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>. A descrição do objeto a quantidade e a lista de documentos que deverão compor a cotação encontram abaixo especificadas, outras informações ou complementos destas poderão ser fornecid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>as no telefone (35) 3239-39</w:t>
            </w:r>
            <w:r w:rsidR="00C274E7" w:rsidRPr="00536961">
              <w:rPr>
                <w:rFonts w:ascii="Arial" w:hAnsi="Arial" w:cs="Arial"/>
                <w:b/>
                <w:sz w:val="28"/>
                <w:szCs w:val="28"/>
              </w:rPr>
              <w:t>78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 xml:space="preserve"> no endereço: </w:t>
            </w:r>
            <w:r w:rsidR="00650D1A" w:rsidRPr="00536961">
              <w:rPr>
                <w:rFonts w:ascii="Arial" w:hAnsi="Arial" w:cs="Arial"/>
                <w:b/>
                <w:sz w:val="28"/>
                <w:szCs w:val="28"/>
              </w:rPr>
              <w:t>Rua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 xml:space="preserve"> Pedro </w:t>
            </w:r>
            <w:proofErr w:type="spellStart"/>
            <w:r w:rsidRPr="00536961">
              <w:rPr>
                <w:rFonts w:ascii="Arial" w:hAnsi="Arial" w:cs="Arial"/>
                <w:b/>
                <w:sz w:val="28"/>
                <w:szCs w:val="28"/>
              </w:rPr>
              <w:t>Bonésio</w:t>
            </w:r>
            <w:proofErr w:type="spellEnd"/>
            <w:r w:rsidR="005E0E8C" w:rsidRPr="00536961">
              <w:rPr>
                <w:rFonts w:ascii="Arial" w:hAnsi="Arial" w:cs="Arial"/>
                <w:b/>
                <w:sz w:val="28"/>
                <w:szCs w:val="28"/>
              </w:rPr>
              <w:t>, n.º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 xml:space="preserve"> 236 Centro – Três Corações-MG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 xml:space="preserve">, ou no e-mail </w:t>
            </w:r>
            <w:r w:rsidR="0060768C" w:rsidRPr="00536961">
              <w:rPr>
                <w:rFonts w:ascii="Arial" w:hAnsi="Arial" w:cs="Arial"/>
                <w:b/>
                <w:sz w:val="28"/>
                <w:szCs w:val="28"/>
              </w:rPr>
              <w:t>licitacao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>@hsstc.com.br</w:t>
            </w:r>
          </w:p>
        </w:tc>
      </w:tr>
    </w:tbl>
    <w:p w14:paraId="7B3DEE21" w14:textId="3849852B" w:rsidR="002A602A" w:rsidRDefault="002A602A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86A30D" w14:textId="032A212A" w:rsidR="00900D2C" w:rsidRDefault="00900D2C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709"/>
        <w:gridCol w:w="992"/>
        <w:gridCol w:w="1418"/>
      </w:tblGrid>
      <w:tr w:rsidR="00900D2C" w:rsidRPr="00F24F3C" w14:paraId="331DCC6E" w14:textId="77777777" w:rsidTr="00900D2C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CB7D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7849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0DD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7A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UND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6D4C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 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C35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 TOTAL</w:t>
            </w:r>
          </w:p>
        </w:tc>
      </w:tr>
      <w:tr w:rsidR="00900D2C" w:rsidRPr="00F24F3C" w14:paraId="119BC44E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A0D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025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CABO FLEX ANTICHAMA 750V 1,5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07E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C54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21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272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378AF7FB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59A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C071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CABO FLEX ANTICHAMA 750V 2,5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B1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7F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BB6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575B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3C3BFC70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B5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E909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CABO FLEX ANTICHAMA 750V 4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ECB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86D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689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FB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583F2BF2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4E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D344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CAIXA DE PASSAGEM EMBUTIR TIGRE CPT 20X20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DD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825B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C8E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D64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738E251C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BDC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8B56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FITA ISOLANTE 20 MTS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6B9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0E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6D6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CE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59258524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70D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DC82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INTERRUPTOR 2 SEC PARALELO 4X2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873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69B9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9ECB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19D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7CCC2652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9F8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125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INTERRUPTOR PARALELO + TOMADA 2P + T 10A 4X2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4A4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CD5E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74E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21A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6CA35003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0B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52A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INTERRUPTOR PARALELO 10 A 250 V 4X2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454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B48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34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6B4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60E36E46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42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01D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MODULO RJ11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3B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50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B9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1B4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19B2259E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54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F85A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MODULO TOMADA 2P + T 10A 250V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860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6E9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3CFA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5D6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541DFEC7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CDD4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708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PLACA 4X2 1 MODULO +SAIDA DE FIO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5FA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A07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8A5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A46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5035806F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AF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938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PLACA 4X2 CEGA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D6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396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19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8AA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11C9326B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186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B4B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PLACA 4X4 1+1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F6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7BA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C98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32C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2600F13F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7C5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538D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PLACA 4X4 CEGA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9C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71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243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8D3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37B9FA8B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929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103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SOLDA FIO COM FLUXO 1,50MM 60X40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C86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F8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4F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A260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4B515FB3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CC7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6AC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TOMADA 2P + T 10 A 250V 4X2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902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083B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57E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63F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6B057EC0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347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16E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TOMADA DUPLA 2P+T 10 A 250V 4X2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382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B775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63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29A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00D2C" w:rsidRPr="00F24F3C" w14:paraId="73F21CA5" w14:textId="77777777" w:rsidTr="00900D2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7FAA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699" w14:textId="77777777" w:rsidR="00900D2C" w:rsidRPr="00F24F3C" w:rsidRDefault="00900D2C" w:rsidP="005B19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D42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001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497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09C" w14:textId="77777777" w:rsidR="00900D2C" w:rsidRPr="00F24F3C" w:rsidRDefault="00900D2C" w:rsidP="005B1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41ED30" w14:textId="77777777" w:rsidR="00900D2C" w:rsidRDefault="00900D2C" w:rsidP="00900D2C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8ADEB3D" w14:textId="77777777" w:rsidR="002A602A" w:rsidRDefault="002A602A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15"/>
        <w:tblOverlap w:val="never"/>
        <w:tblW w:w="5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1"/>
      </w:tblGrid>
      <w:tr w:rsidR="00C274E7" w:rsidRPr="009C176B" w14:paraId="1A52A274" w14:textId="77777777" w:rsidTr="00086315">
        <w:trPr>
          <w:trHeight w:val="224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57DA3828" w14:textId="77777777" w:rsidR="00C274E7" w:rsidRPr="009C176B" w:rsidRDefault="00C274E7" w:rsidP="00C274E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</w:t>
            </w: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2DE5" w14:textId="77777777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A validade da proposta será de no mínimo 60 (sessenta) dias;</w:t>
            </w:r>
          </w:p>
        </w:tc>
      </w:tr>
      <w:tr w:rsidR="00C274E7" w:rsidRPr="009C176B" w14:paraId="3E8F4228" w14:textId="77777777" w:rsidTr="00086315">
        <w:trPr>
          <w:trHeight w:val="310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2F0412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0EC3" w14:textId="37E896CF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Os </w:t>
            </w:r>
            <w:r w:rsidR="002A59C8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796E6B">
              <w:rPr>
                <w:rFonts w:ascii="Arial" w:hAnsi="Arial" w:cs="Arial"/>
                <w:color w:val="000000"/>
                <w:sz w:val="22"/>
                <w:szCs w:val="22"/>
              </w:rPr>
              <w:t>ateriais</w:t>
            </w: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E7BE6">
              <w:rPr>
                <w:rFonts w:ascii="Arial" w:hAnsi="Arial" w:cs="Arial"/>
                <w:color w:val="000000"/>
                <w:sz w:val="22"/>
                <w:szCs w:val="22"/>
              </w:rPr>
              <w:t xml:space="preserve">e o aluguel </w:t>
            </w: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 xml:space="preserve">deverão ser entregues na Fundação Hospitalar São Sebastião, na Rua Pedro </w:t>
            </w:r>
            <w:proofErr w:type="spellStart"/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Bonésio</w:t>
            </w:r>
            <w:proofErr w:type="spellEnd"/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, nº 236 – Centro – Três Corações – MG.</w:t>
            </w:r>
          </w:p>
        </w:tc>
      </w:tr>
      <w:tr w:rsidR="00C274E7" w:rsidRPr="009C176B" w14:paraId="65CBE5D4" w14:textId="77777777" w:rsidTr="00086315">
        <w:trPr>
          <w:trHeight w:val="262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9C0FD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7630" w14:textId="064C5732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Nas propostas deverão constar CNPJ e Inscrição Estadual da empresa;</w:t>
            </w:r>
          </w:p>
        </w:tc>
      </w:tr>
      <w:tr w:rsidR="00C274E7" w:rsidRPr="009C176B" w14:paraId="2336D8A9" w14:textId="77777777" w:rsidTr="00086315">
        <w:trPr>
          <w:trHeight w:val="829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3CE06A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19A6" w14:textId="77777777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 xml:space="preserve">- Será de inteira responsabilidade da Empresa a entrega dos materiais no local de destino em perfeitas condições de uso, os materiais deverão ser novos, entregues em suas embalagens originais, lacradas, contendo: marca fabricante, procedência, sem defeitos e com prazo de validade, </w:t>
            </w:r>
            <w:r w:rsidRPr="008F3369">
              <w:rPr>
                <w:rFonts w:ascii="Arial" w:hAnsi="Arial" w:cs="Arial"/>
                <w:color w:val="000000"/>
                <w:sz w:val="22"/>
                <w:szCs w:val="22"/>
                <w:shd w:val="clear" w:color="auto" w:fill="95B3D7" w:themeFill="accent1" w:themeFillTint="99"/>
              </w:rPr>
              <w:t>já inclusos todas as despesas com transportes, fretes e impostos que incidam sobre a mercadoria;</w:t>
            </w:r>
          </w:p>
        </w:tc>
      </w:tr>
      <w:tr w:rsidR="00C274E7" w:rsidRPr="009C176B" w14:paraId="4EFBCCDB" w14:textId="77777777" w:rsidTr="00086315">
        <w:trPr>
          <w:trHeight w:val="246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229FD8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C9C7" w14:textId="77777777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O prazo de entrega será de até 30 (trinta) dias após assinatura do contrato;</w:t>
            </w:r>
          </w:p>
        </w:tc>
      </w:tr>
      <w:tr w:rsidR="00C274E7" w:rsidRPr="009C176B" w14:paraId="4D12962E" w14:textId="77777777" w:rsidTr="00086315">
        <w:trPr>
          <w:trHeight w:val="197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EC740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A5FC" w14:textId="77777777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O critério de julgamento deverá ser menor preço por item;</w:t>
            </w:r>
          </w:p>
        </w:tc>
      </w:tr>
      <w:tr w:rsidR="00C274E7" w:rsidRPr="009C176B" w14:paraId="2D60F09F" w14:textId="77777777" w:rsidTr="00086315">
        <w:trPr>
          <w:trHeight w:val="197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8302F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743D" w14:textId="77777777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O pagamento será realizado 48 horas após o recebimento e análise da Comissão de recebimento provisório e definitivo de materiais, equipamentos e medicamentos e Instrumentos médicos hospitalares.</w:t>
            </w:r>
          </w:p>
        </w:tc>
      </w:tr>
      <w:tr w:rsidR="00C274E7" w:rsidRPr="009C176B" w14:paraId="24307021" w14:textId="77777777" w:rsidTr="00086315">
        <w:trPr>
          <w:trHeight w:val="770"/>
        </w:trPr>
        <w:tc>
          <w:tcPr>
            <w:tcW w:w="48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FBE0E5" w14:textId="77777777" w:rsidR="00C274E7" w:rsidRPr="009C176B" w:rsidRDefault="00C274E7" w:rsidP="00C274E7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8EE" w14:textId="77777777" w:rsidR="00C274E7" w:rsidRPr="009C176B" w:rsidRDefault="00C274E7" w:rsidP="00796E6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Deverá ser apresentado registro dos materiais junto a Agência de Vigilância Sanitária do Ministério da Saúde e Certificado de Conformidade expedido por órgão/entidade credenciada pelo o INMETRO, quando for o caso.</w:t>
            </w:r>
          </w:p>
        </w:tc>
      </w:tr>
    </w:tbl>
    <w:p w14:paraId="00ED8DD5" w14:textId="77777777" w:rsidR="00C274E7" w:rsidRPr="009C176B" w:rsidRDefault="00C274E7" w:rsidP="00C274E7">
      <w:pPr>
        <w:tabs>
          <w:tab w:val="left" w:pos="1256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8F7F898" w14:textId="70EE5E89" w:rsidR="0043753A" w:rsidRDefault="0043753A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</w:rPr>
        <w:t>Será exigido do vencedor:</w:t>
      </w:r>
    </w:p>
    <w:p w14:paraId="53EC5DAB" w14:textId="77777777" w:rsidR="002A59C8" w:rsidRDefault="002A59C8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08B3E3" w14:textId="77777777" w:rsidR="0043753A" w:rsidRPr="001E1FAB" w:rsidRDefault="0043753A" w:rsidP="00AC0BBB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</w:rPr>
        <w:t xml:space="preserve"> </w:t>
      </w:r>
      <w:r w:rsidRPr="001E1FAB">
        <w:rPr>
          <w:rFonts w:ascii="Arial" w:hAnsi="Arial" w:cs="Arial"/>
          <w:b/>
          <w:sz w:val="24"/>
          <w:szCs w:val="24"/>
          <w:u w:val="single"/>
        </w:rPr>
        <w:t>Habilitação Jurídica</w:t>
      </w:r>
      <w:r w:rsidRPr="001E1FAB">
        <w:rPr>
          <w:rFonts w:ascii="Arial" w:hAnsi="Arial" w:cs="Arial"/>
          <w:b/>
          <w:sz w:val="24"/>
          <w:szCs w:val="24"/>
        </w:rPr>
        <w:t>:</w:t>
      </w:r>
    </w:p>
    <w:p w14:paraId="24E9EF0C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 xml:space="preserve"> - Contrato Social em vigor, devidamente registrado, e suas Alterações posteriores e/ou a Consolidação destas; ou, Declaração de Firma Mercantil Individual, se for o caso;</w:t>
      </w:r>
    </w:p>
    <w:p w14:paraId="3D846245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Cédulas de Identidade e CPF do Administrador ou do Responsável pela empresa;</w:t>
      </w:r>
    </w:p>
    <w:p w14:paraId="1ABAD2C7" w14:textId="32C7971A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 xml:space="preserve">- Certidão da Junta Comercial do domicílio da licitante, </w:t>
      </w:r>
      <w:r w:rsidRPr="001E1FAB">
        <w:rPr>
          <w:rFonts w:ascii="Arial" w:hAnsi="Arial" w:cs="Arial"/>
          <w:sz w:val="24"/>
          <w:szCs w:val="24"/>
          <w:u w:val="single"/>
        </w:rPr>
        <w:t>atualizada</w:t>
      </w:r>
      <w:r w:rsidRPr="001E1FAB">
        <w:rPr>
          <w:rFonts w:ascii="Arial" w:hAnsi="Arial" w:cs="Arial"/>
          <w:sz w:val="24"/>
          <w:szCs w:val="24"/>
        </w:rPr>
        <w:t>, que comprove a sua qualificação jurídica de Microempresa ou Empresa de Pequeno Porte se for o caso.</w:t>
      </w:r>
    </w:p>
    <w:p w14:paraId="173DB655" w14:textId="77777777" w:rsidR="002A59C8" w:rsidRPr="001E1FAB" w:rsidRDefault="002A59C8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34CA61" w14:textId="69AD14F3" w:rsidR="0043753A" w:rsidRDefault="0043753A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  <w:u w:val="single"/>
        </w:rPr>
        <w:t>Regularidade Fiscal e Trabalhista</w:t>
      </w:r>
      <w:r w:rsidRPr="001E1FAB">
        <w:rPr>
          <w:rFonts w:ascii="Arial" w:hAnsi="Arial" w:cs="Arial"/>
          <w:b/>
          <w:sz w:val="24"/>
          <w:szCs w:val="24"/>
        </w:rPr>
        <w:t>:</w:t>
      </w:r>
    </w:p>
    <w:p w14:paraId="3009A08B" w14:textId="77777777" w:rsidR="00796E6B" w:rsidRPr="001E1FAB" w:rsidRDefault="00796E6B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44938C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Cartão de Inscrição no CNPJ/MF ou Comprovante de Inscrição e Situação Cadastral no CNPJ/MF</w:t>
      </w:r>
      <w:r w:rsidRPr="001E1FAB">
        <w:rPr>
          <w:rFonts w:ascii="Arial" w:hAnsi="Arial" w:cs="Arial"/>
          <w:color w:val="0000FF"/>
          <w:sz w:val="24"/>
          <w:szCs w:val="24"/>
        </w:rPr>
        <w:t>,</w:t>
      </w:r>
      <w:r w:rsidRPr="001E1FAB">
        <w:rPr>
          <w:rFonts w:ascii="Arial" w:hAnsi="Arial" w:cs="Arial"/>
          <w:sz w:val="24"/>
          <w:szCs w:val="24"/>
        </w:rPr>
        <w:t xml:space="preserve"> devidamente atualizado;</w:t>
      </w:r>
    </w:p>
    <w:p w14:paraId="41DD576C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relativa à Previdência Social - CND do INSS;</w:t>
      </w:r>
    </w:p>
    <w:p w14:paraId="636FA3D9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ao Fundo de Garantia por Tempo de Serviço - CRF do FGTS;</w:t>
      </w:r>
    </w:p>
    <w:p w14:paraId="4CED9EF6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às Receitas Federal e Dívida Ativa da União;</w:t>
      </w:r>
    </w:p>
    <w:p w14:paraId="52F8291E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às Receitas Estadual do domicílio da Licitante;</w:t>
      </w:r>
    </w:p>
    <w:p w14:paraId="154E575E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à Receita Municipal do domicílio da Licitante.</w:t>
      </w:r>
    </w:p>
    <w:p w14:paraId="797A6119" w14:textId="77777777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Certidão Negativa de Débitos Trabalhistas.</w:t>
      </w:r>
    </w:p>
    <w:p w14:paraId="70E5C5E6" w14:textId="77777777" w:rsidR="00796E6B" w:rsidRDefault="00796E6B" w:rsidP="005E2F2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EC05E0" w14:textId="7C60CE68" w:rsidR="005E2F21" w:rsidRDefault="005E2F21" w:rsidP="005E2F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1B27">
        <w:rPr>
          <w:rFonts w:ascii="Arial" w:hAnsi="Arial" w:cs="Arial"/>
          <w:b/>
          <w:sz w:val="24"/>
          <w:szCs w:val="24"/>
          <w:u w:val="single"/>
        </w:rPr>
        <w:t>Qualificação Econômico-Financeira:</w:t>
      </w:r>
    </w:p>
    <w:p w14:paraId="28DB6AC9" w14:textId="77777777" w:rsidR="00796E6B" w:rsidRPr="00571B27" w:rsidRDefault="00796E6B" w:rsidP="005E2F21">
      <w:pPr>
        <w:jc w:val="both"/>
        <w:rPr>
          <w:rFonts w:ascii="Arial" w:hAnsi="Arial" w:cs="Arial"/>
          <w:b/>
          <w:sz w:val="24"/>
          <w:szCs w:val="24"/>
        </w:rPr>
      </w:pPr>
    </w:p>
    <w:p w14:paraId="07AA3DB7" w14:textId="77777777" w:rsidR="005E2F21" w:rsidRPr="00571B27" w:rsidRDefault="005E2F21" w:rsidP="005E2F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71B27">
        <w:rPr>
          <w:rFonts w:ascii="Arial" w:hAnsi="Arial" w:cs="Arial"/>
          <w:sz w:val="24"/>
          <w:szCs w:val="24"/>
        </w:rPr>
        <w:t xml:space="preserve">I - Certidão Negativa de Falência ou Concordata expedida pelo distribuidor da sede da </w:t>
      </w:r>
      <w:r w:rsidRPr="00571B27">
        <w:rPr>
          <w:rFonts w:ascii="Arial" w:hAnsi="Arial" w:cs="Arial"/>
          <w:sz w:val="24"/>
          <w:szCs w:val="24"/>
          <w:u w:val="single"/>
        </w:rPr>
        <w:t>pessoa jurídica</w:t>
      </w:r>
      <w:r w:rsidRPr="00571B27">
        <w:rPr>
          <w:rFonts w:ascii="Arial" w:hAnsi="Arial" w:cs="Arial"/>
          <w:sz w:val="24"/>
          <w:szCs w:val="24"/>
        </w:rPr>
        <w:t xml:space="preserve">; ou, de execução patrimonial, expedida no domicílio da pessoa </w:t>
      </w:r>
      <w:r w:rsidRPr="00571B27">
        <w:rPr>
          <w:rFonts w:ascii="Arial" w:hAnsi="Arial" w:cs="Arial"/>
          <w:sz w:val="24"/>
          <w:szCs w:val="24"/>
          <w:u w:val="single"/>
        </w:rPr>
        <w:t>física</w:t>
      </w:r>
      <w:r w:rsidRPr="00571B27">
        <w:rPr>
          <w:rFonts w:ascii="Arial" w:hAnsi="Arial" w:cs="Arial"/>
          <w:sz w:val="24"/>
          <w:szCs w:val="24"/>
        </w:rPr>
        <w:t xml:space="preserve">. Estas certidões deverão ter sido expedidas a no máximo </w:t>
      </w:r>
      <w:r w:rsidRPr="00571B27">
        <w:rPr>
          <w:rFonts w:ascii="Arial" w:hAnsi="Arial" w:cs="Arial"/>
          <w:sz w:val="24"/>
          <w:szCs w:val="24"/>
          <w:u w:val="single"/>
        </w:rPr>
        <w:t>30 (trinta) dias</w:t>
      </w:r>
      <w:r w:rsidRPr="00571B27">
        <w:rPr>
          <w:rFonts w:ascii="Arial" w:hAnsi="Arial" w:cs="Arial"/>
          <w:sz w:val="24"/>
          <w:szCs w:val="24"/>
        </w:rPr>
        <w:t xml:space="preserve"> anteriores à data de abertura dos envelopes.</w:t>
      </w:r>
    </w:p>
    <w:p w14:paraId="0175A35B" w14:textId="77777777" w:rsidR="00796E6B" w:rsidRDefault="00796E6B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7BB4DF" w14:textId="049C765E" w:rsidR="0043753A" w:rsidRPr="001E1FAB" w:rsidRDefault="0043753A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 xml:space="preserve"> </w:t>
      </w:r>
      <w:r w:rsidRPr="001E1FAB">
        <w:rPr>
          <w:rFonts w:ascii="Arial" w:hAnsi="Arial" w:cs="Arial"/>
          <w:b/>
          <w:sz w:val="24"/>
          <w:szCs w:val="24"/>
          <w:u w:val="single"/>
        </w:rPr>
        <w:t>Qualificação Técnica</w:t>
      </w:r>
    </w:p>
    <w:p w14:paraId="72D6A4BA" w14:textId="14A67C93" w:rsidR="0043753A" w:rsidRDefault="0043753A" w:rsidP="004375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– Deverá se</w:t>
      </w:r>
      <w:r>
        <w:rPr>
          <w:rFonts w:ascii="Arial" w:hAnsi="Arial" w:cs="Arial"/>
          <w:sz w:val="24"/>
          <w:szCs w:val="24"/>
        </w:rPr>
        <w:t xml:space="preserve">r pedido registro dos produtos </w:t>
      </w:r>
      <w:r w:rsidRPr="001E1FAB">
        <w:rPr>
          <w:rFonts w:ascii="Arial" w:hAnsi="Arial" w:cs="Arial"/>
          <w:sz w:val="24"/>
          <w:szCs w:val="24"/>
        </w:rPr>
        <w:t xml:space="preserve">junto a agência de vigilância sanitária do Ministério da Saúde, </w:t>
      </w:r>
      <w:r w:rsidRPr="001E1FAB">
        <w:rPr>
          <w:rFonts w:ascii="Arial" w:hAnsi="Arial" w:cs="Arial"/>
          <w:color w:val="000000"/>
          <w:sz w:val="24"/>
          <w:szCs w:val="24"/>
        </w:rPr>
        <w:t>ou Certificado de Conformidade expedido por órgão/entidade credenciada pelo o INMETRO.</w:t>
      </w:r>
    </w:p>
    <w:p w14:paraId="5205DF4E" w14:textId="46548D40" w:rsidR="0060768C" w:rsidRDefault="0060768C" w:rsidP="004375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8D5221" w14:textId="518734BC" w:rsidR="0043753A" w:rsidRDefault="0043753A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  <w:u w:val="single"/>
        </w:rPr>
        <w:t>Declarações</w:t>
      </w:r>
      <w:r w:rsidRPr="001E1FAB">
        <w:rPr>
          <w:rFonts w:ascii="Arial" w:hAnsi="Arial" w:cs="Arial"/>
          <w:b/>
          <w:sz w:val="24"/>
          <w:szCs w:val="24"/>
        </w:rPr>
        <w:t>:</w:t>
      </w:r>
    </w:p>
    <w:p w14:paraId="4AFEF9F2" w14:textId="77777777" w:rsidR="002A59C8" w:rsidRPr="001E1FAB" w:rsidRDefault="002A59C8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947C93" w14:textId="77777777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Declaração de que não utiliza mão-de-obra direta ou indireta de menores de 18 (dezoito) anos para a realização de trabalhos noturnos, perigosos ou insalubres, bem como não utiliza, para qualquer trabalho, mão-de-obra direta ou indireta de menores de 16 (dezesseis) anos, exceto na condição de aprendiz, a partir de 14 (quatorze) anos conforme art. 7°, XXXIII da Constituição Federal e art. 27, V da Lei n° 8.666/93.</w:t>
      </w:r>
    </w:p>
    <w:p w14:paraId="397C0345" w14:textId="77777777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964F3F" w14:textId="77777777" w:rsidR="0043753A" w:rsidRPr="0032552E" w:rsidRDefault="0043753A" w:rsidP="004375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552E">
        <w:rPr>
          <w:rFonts w:ascii="Arial" w:hAnsi="Arial" w:cs="Arial"/>
          <w:sz w:val="24"/>
          <w:szCs w:val="24"/>
        </w:rPr>
        <w:t>Declaração da própria empresa que não existe em seu quadro de empregados servidores públicos da contratante</w:t>
      </w:r>
      <w:r>
        <w:rPr>
          <w:rFonts w:ascii="Arial" w:hAnsi="Arial" w:cs="Arial"/>
          <w:sz w:val="24"/>
          <w:szCs w:val="24"/>
        </w:rPr>
        <w:t xml:space="preserve"> </w:t>
      </w:r>
      <w:r w:rsidRPr="0032552E">
        <w:rPr>
          <w:rFonts w:ascii="Arial" w:hAnsi="Arial" w:cs="Arial"/>
          <w:sz w:val="24"/>
          <w:szCs w:val="24"/>
        </w:rPr>
        <w:t>exercendo funções de gerência, administração ou tomada de decisão, na forma do art. 9º, inciso III da Lei 8.666/93,</w:t>
      </w:r>
    </w:p>
    <w:sectPr w:rsidR="0043753A" w:rsidRPr="0032552E" w:rsidSect="0014163A">
      <w:pgSz w:w="11906" w:h="16838"/>
      <w:pgMar w:top="568" w:right="15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DF5"/>
    <w:multiLevelType w:val="hybridMultilevel"/>
    <w:tmpl w:val="83B09D22"/>
    <w:lvl w:ilvl="0" w:tplc="D2F47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1CD5"/>
    <w:multiLevelType w:val="hybridMultilevel"/>
    <w:tmpl w:val="B82E3F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E71"/>
    <w:multiLevelType w:val="hybridMultilevel"/>
    <w:tmpl w:val="B9242A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D480B"/>
    <w:multiLevelType w:val="multilevel"/>
    <w:tmpl w:val="36C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E2138"/>
    <w:multiLevelType w:val="hybridMultilevel"/>
    <w:tmpl w:val="36DA92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D129D"/>
    <w:multiLevelType w:val="hybridMultilevel"/>
    <w:tmpl w:val="7870DC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C6A45"/>
    <w:multiLevelType w:val="hybridMultilevel"/>
    <w:tmpl w:val="6CD8F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E35DB"/>
    <w:multiLevelType w:val="hybridMultilevel"/>
    <w:tmpl w:val="77A2E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D65B4"/>
    <w:multiLevelType w:val="hybridMultilevel"/>
    <w:tmpl w:val="02B06FC6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8706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46579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246819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3301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1498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9909920">
    <w:abstractNumId w:val="0"/>
  </w:num>
  <w:num w:numId="7" w16cid:durableId="285503482">
    <w:abstractNumId w:val="5"/>
  </w:num>
  <w:num w:numId="8" w16cid:durableId="45683588">
    <w:abstractNumId w:val="2"/>
  </w:num>
  <w:num w:numId="9" w16cid:durableId="154880937">
    <w:abstractNumId w:val="1"/>
  </w:num>
  <w:num w:numId="10" w16cid:durableId="1761834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C"/>
    <w:rsid w:val="000122EB"/>
    <w:rsid w:val="00020F31"/>
    <w:rsid w:val="00032273"/>
    <w:rsid w:val="00062AB8"/>
    <w:rsid w:val="00065731"/>
    <w:rsid w:val="00086315"/>
    <w:rsid w:val="0009303E"/>
    <w:rsid w:val="000A33F8"/>
    <w:rsid w:val="000B2F99"/>
    <w:rsid w:val="000C311E"/>
    <w:rsid w:val="000C3DF3"/>
    <w:rsid w:val="000F0E54"/>
    <w:rsid w:val="00110F7D"/>
    <w:rsid w:val="0012479D"/>
    <w:rsid w:val="00126171"/>
    <w:rsid w:val="0014163A"/>
    <w:rsid w:val="00155B3F"/>
    <w:rsid w:val="001A08F0"/>
    <w:rsid w:val="001A0B81"/>
    <w:rsid w:val="001B08FB"/>
    <w:rsid w:val="001B492A"/>
    <w:rsid w:val="001E4E15"/>
    <w:rsid w:val="001E7EDC"/>
    <w:rsid w:val="00203DA6"/>
    <w:rsid w:val="002225C0"/>
    <w:rsid w:val="00226A9D"/>
    <w:rsid w:val="002511BB"/>
    <w:rsid w:val="00274DFF"/>
    <w:rsid w:val="00295B41"/>
    <w:rsid w:val="002A31D0"/>
    <w:rsid w:val="002A59C8"/>
    <w:rsid w:val="002A602A"/>
    <w:rsid w:val="002E3F58"/>
    <w:rsid w:val="002F246C"/>
    <w:rsid w:val="00324259"/>
    <w:rsid w:val="00342F92"/>
    <w:rsid w:val="00350234"/>
    <w:rsid w:val="00351DA3"/>
    <w:rsid w:val="0035677B"/>
    <w:rsid w:val="003678EF"/>
    <w:rsid w:val="003B1985"/>
    <w:rsid w:val="003C5266"/>
    <w:rsid w:val="003D0837"/>
    <w:rsid w:val="003E4CFF"/>
    <w:rsid w:val="003F0C57"/>
    <w:rsid w:val="0043753A"/>
    <w:rsid w:val="00450024"/>
    <w:rsid w:val="004600EE"/>
    <w:rsid w:val="004632E4"/>
    <w:rsid w:val="00467E62"/>
    <w:rsid w:val="00476607"/>
    <w:rsid w:val="0048481C"/>
    <w:rsid w:val="0048576E"/>
    <w:rsid w:val="0048796C"/>
    <w:rsid w:val="004A0644"/>
    <w:rsid w:val="004A40DD"/>
    <w:rsid w:val="004B1231"/>
    <w:rsid w:val="004F0E42"/>
    <w:rsid w:val="004F32B6"/>
    <w:rsid w:val="00532E1E"/>
    <w:rsid w:val="00536961"/>
    <w:rsid w:val="00544757"/>
    <w:rsid w:val="00553770"/>
    <w:rsid w:val="00560F3C"/>
    <w:rsid w:val="005C2306"/>
    <w:rsid w:val="005C29E8"/>
    <w:rsid w:val="005E0E8C"/>
    <w:rsid w:val="005E2B74"/>
    <w:rsid w:val="005E2F21"/>
    <w:rsid w:val="005F6474"/>
    <w:rsid w:val="0060768C"/>
    <w:rsid w:val="00607AEC"/>
    <w:rsid w:val="00627BFD"/>
    <w:rsid w:val="00631E89"/>
    <w:rsid w:val="0063216B"/>
    <w:rsid w:val="00634D00"/>
    <w:rsid w:val="00636116"/>
    <w:rsid w:val="00650D1A"/>
    <w:rsid w:val="006A3C47"/>
    <w:rsid w:val="006C34A9"/>
    <w:rsid w:val="006D7535"/>
    <w:rsid w:val="006E487A"/>
    <w:rsid w:val="006E487B"/>
    <w:rsid w:val="006E4C7B"/>
    <w:rsid w:val="006F60D0"/>
    <w:rsid w:val="007004D6"/>
    <w:rsid w:val="00701BBB"/>
    <w:rsid w:val="00723C9D"/>
    <w:rsid w:val="00733103"/>
    <w:rsid w:val="00735238"/>
    <w:rsid w:val="00743D64"/>
    <w:rsid w:val="00756FE1"/>
    <w:rsid w:val="00757A55"/>
    <w:rsid w:val="0079666E"/>
    <w:rsid w:val="00796E6B"/>
    <w:rsid w:val="007A5075"/>
    <w:rsid w:val="007B295B"/>
    <w:rsid w:val="007C3547"/>
    <w:rsid w:val="007D4E41"/>
    <w:rsid w:val="007E62D8"/>
    <w:rsid w:val="00820638"/>
    <w:rsid w:val="00822B72"/>
    <w:rsid w:val="00831EEE"/>
    <w:rsid w:val="00840A5A"/>
    <w:rsid w:val="008546D3"/>
    <w:rsid w:val="00863672"/>
    <w:rsid w:val="00864EDE"/>
    <w:rsid w:val="008954B6"/>
    <w:rsid w:val="008B2C24"/>
    <w:rsid w:val="008B4A10"/>
    <w:rsid w:val="008D28AC"/>
    <w:rsid w:val="00900D2C"/>
    <w:rsid w:val="00984F43"/>
    <w:rsid w:val="009876A6"/>
    <w:rsid w:val="00995D98"/>
    <w:rsid w:val="0099744F"/>
    <w:rsid w:val="009C603A"/>
    <w:rsid w:val="009D6A54"/>
    <w:rsid w:val="009F116F"/>
    <w:rsid w:val="00A12052"/>
    <w:rsid w:val="00A34E52"/>
    <w:rsid w:val="00A3615B"/>
    <w:rsid w:val="00A42BA8"/>
    <w:rsid w:val="00A52D41"/>
    <w:rsid w:val="00A64CCC"/>
    <w:rsid w:val="00A66223"/>
    <w:rsid w:val="00A96380"/>
    <w:rsid w:val="00AA3596"/>
    <w:rsid w:val="00AB4969"/>
    <w:rsid w:val="00AC0BBB"/>
    <w:rsid w:val="00AC59F3"/>
    <w:rsid w:val="00AE20A6"/>
    <w:rsid w:val="00AF34C6"/>
    <w:rsid w:val="00B01D2F"/>
    <w:rsid w:val="00B07C0E"/>
    <w:rsid w:val="00B11FB1"/>
    <w:rsid w:val="00B23406"/>
    <w:rsid w:val="00B44874"/>
    <w:rsid w:val="00B4570B"/>
    <w:rsid w:val="00B50DEB"/>
    <w:rsid w:val="00B75F05"/>
    <w:rsid w:val="00B9083A"/>
    <w:rsid w:val="00B93A1F"/>
    <w:rsid w:val="00BA5DDC"/>
    <w:rsid w:val="00BB2F97"/>
    <w:rsid w:val="00BC27DA"/>
    <w:rsid w:val="00BF54DD"/>
    <w:rsid w:val="00C042FD"/>
    <w:rsid w:val="00C04553"/>
    <w:rsid w:val="00C2059F"/>
    <w:rsid w:val="00C274E7"/>
    <w:rsid w:val="00C4046C"/>
    <w:rsid w:val="00C769B8"/>
    <w:rsid w:val="00C774CE"/>
    <w:rsid w:val="00CA4216"/>
    <w:rsid w:val="00CE7BB1"/>
    <w:rsid w:val="00CE7BE6"/>
    <w:rsid w:val="00CF0F7C"/>
    <w:rsid w:val="00D02519"/>
    <w:rsid w:val="00D02A53"/>
    <w:rsid w:val="00D16BB5"/>
    <w:rsid w:val="00D25C21"/>
    <w:rsid w:val="00D3516B"/>
    <w:rsid w:val="00D434E3"/>
    <w:rsid w:val="00D752D8"/>
    <w:rsid w:val="00D77C46"/>
    <w:rsid w:val="00D8102A"/>
    <w:rsid w:val="00D933CC"/>
    <w:rsid w:val="00DA45FF"/>
    <w:rsid w:val="00DB2455"/>
    <w:rsid w:val="00DC0073"/>
    <w:rsid w:val="00DC7193"/>
    <w:rsid w:val="00DC7D5F"/>
    <w:rsid w:val="00DD0897"/>
    <w:rsid w:val="00DF4C8C"/>
    <w:rsid w:val="00E00A91"/>
    <w:rsid w:val="00E27369"/>
    <w:rsid w:val="00E27FB3"/>
    <w:rsid w:val="00E72C5B"/>
    <w:rsid w:val="00E86241"/>
    <w:rsid w:val="00E93B4B"/>
    <w:rsid w:val="00EB3B3F"/>
    <w:rsid w:val="00EF773A"/>
    <w:rsid w:val="00F01779"/>
    <w:rsid w:val="00F033CB"/>
    <w:rsid w:val="00F0607C"/>
    <w:rsid w:val="00F06D93"/>
    <w:rsid w:val="00F75DC7"/>
    <w:rsid w:val="00F94A91"/>
    <w:rsid w:val="00F94AE2"/>
    <w:rsid w:val="00FA2E34"/>
    <w:rsid w:val="00FC12E5"/>
    <w:rsid w:val="00FC50A7"/>
    <w:rsid w:val="00FE20D9"/>
    <w:rsid w:val="00FE27E0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CD6A"/>
  <w15:docId w15:val="{D670DBD9-60F4-4D79-A6F3-498C1C5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35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0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FE20D9"/>
  </w:style>
  <w:style w:type="character" w:customStyle="1" w:styleId="yiv1114014859apple-style-span">
    <w:name w:val="yiv1114014859apple-style-span"/>
    <w:basedOn w:val="Fontepargpadro"/>
    <w:rsid w:val="005E0E8C"/>
  </w:style>
  <w:style w:type="character" w:customStyle="1" w:styleId="yui320161318360709787169">
    <w:name w:val="yui_3_2_0_16_1318360709787169"/>
    <w:basedOn w:val="Fontepargpadro"/>
    <w:rsid w:val="005E0E8C"/>
  </w:style>
  <w:style w:type="character" w:customStyle="1" w:styleId="yui320161318360709787173">
    <w:name w:val="yui_3_2_0_16_1318360709787173"/>
    <w:basedOn w:val="Fontepargpadro"/>
    <w:rsid w:val="005E0E8C"/>
  </w:style>
  <w:style w:type="character" w:customStyle="1" w:styleId="yui320161318360709787177">
    <w:name w:val="yui_3_2_0_16_1318360709787177"/>
    <w:basedOn w:val="Fontepargpadro"/>
    <w:rsid w:val="005E0E8C"/>
  </w:style>
  <w:style w:type="character" w:customStyle="1" w:styleId="yiv1314036726apple-style-span">
    <w:name w:val="yiv1314036726apple-style-span"/>
    <w:basedOn w:val="Fontepargpadro"/>
    <w:rsid w:val="007C3547"/>
  </w:style>
  <w:style w:type="character" w:styleId="Hyperlink">
    <w:name w:val="Hyperlink"/>
    <w:basedOn w:val="Fontepargpadro"/>
    <w:uiPriority w:val="99"/>
    <w:unhideWhenUsed/>
    <w:rsid w:val="000C3DF3"/>
    <w:rPr>
      <w:color w:val="0000FF" w:themeColor="hyperlink"/>
      <w:u w:val="single"/>
    </w:rPr>
  </w:style>
  <w:style w:type="paragraph" w:customStyle="1" w:styleId="Default">
    <w:name w:val="Default"/>
    <w:rsid w:val="00FC12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460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30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933C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11FB1"/>
    <w:rPr>
      <w:b/>
      <w:bCs/>
    </w:rPr>
  </w:style>
  <w:style w:type="paragraph" w:styleId="PargrafodaLista">
    <w:name w:val="List Paragraph"/>
    <w:basedOn w:val="Normal"/>
    <w:uiPriority w:val="34"/>
    <w:qFormat/>
    <w:rsid w:val="007A507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E4E1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352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itacao@hsstc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47C7-D4C9-45B7-BF6D-569F2C1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37813</TotalTime>
  <Pages>3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roni.marques2 Marques</cp:lastModifiedBy>
  <cp:revision>133</cp:revision>
  <cp:lastPrinted>2022-10-18T12:26:00Z</cp:lastPrinted>
  <dcterms:created xsi:type="dcterms:W3CDTF">2011-09-02T12:20:00Z</dcterms:created>
  <dcterms:modified xsi:type="dcterms:W3CDTF">2023-10-06T13:31:00Z</dcterms:modified>
</cp:coreProperties>
</file>